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EB" w:rsidRDefault="001E10EB" w:rsidP="001E10EB">
      <w:pPr>
        <w:pStyle w:val="NoSpacing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43D4A5E" wp14:editId="1E5AE9D1">
            <wp:extent cx="1281430" cy="128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29" w:rsidRDefault="00E41EF5" w:rsidP="001E10EB">
      <w:pPr>
        <w:pStyle w:val="NoSpacing"/>
        <w:jc w:val="center"/>
        <w:rPr>
          <w:b/>
        </w:rPr>
      </w:pPr>
      <w:r>
        <w:rPr>
          <w:b/>
        </w:rPr>
        <w:t xml:space="preserve">THE </w:t>
      </w:r>
      <w:r w:rsidR="002A7866" w:rsidRPr="00594EE1">
        <w:rPr>
          <w:b/>
        </w:rPr>
        <w:t>TIM DYDE FUND</w:t>
      </w:r>
      <w:r w:rsidR="00024052" w:rsidRPr="00594EE1">
        <w:rPr>
          <w:b/>
        </w:rPr>
        <w:t xml:space="preserve"> </w:t>
      </w:r>
      <w:r w:rsidR="00594EE1" w:rsidRPr="00594EE1">
        <w:rPr>
          <w:b/>
        </w:rPr>
        <w:t>FOR GIFTED INDIVIDUALS</w:t>
      </w:r>
    </w:p>
    <w:p w:rsidR="00B54AE8" w:rsidRDefault="00B54AE8" w:rsidP="0095271C">
      <w:pPr>
        <w:pStyle w:val="NoSpacing"/>
        <w:jc w:val="center"/>
        <w:rPr>
          <w:b/>
        </w:rPr>
      </w:pPr>
    </w:p>
    <w:p w:rsidR="00B54AE8" w:rsidRPr="00594EE1" w:rsidRDefault="00B54AE8" w:rsidP="0095271C">
      <w:pPr>
        <w:pStyle w:val="NoSpacing"/>
        <w:jc w:val="center"/>
        <w:rPr>
          <w:b/>
        </w:rPr>
      </w:pPr>
      <w:r>
        <w:rPr>
          <w:b/>
        </w:rPr>
        <w:t>FUND GUIDELINES</w:t>
      </w:r>
    </w:p>
    <w:p w:rsidR="00594EE1" w:rsidRDefault="00594EE1" w:rsidP="0095271C">
      <w:pPr>
        <w:pStyle w:val="NoSpacing"/>
        <w:jc w:val="both"/>
      </w:pPr>
    </w:p>
    <w:p w:rsidR="003549BC" w:rsidRDefault="00FA0C29" w:rsidP="0095271C">
      <w:pPr>
        <w:pStyle w:val="NoSpacing"/>
        <w:jc w:val="both"/>
      </w:pPr>
      <w:r>
        <w:t xml:space="preserve">The purpose of </w:t>
      </w:r>
      <w:r w:rsidR="00A8104E">
        <w:t>t</w:t>
      </w:r>
      <w:r w:rsidR="00E128E0">
        <w:t>he Tim Dyde Fund f</w:t>
      </w:r>
      <w:r w:rsidR="00A8104E" w:rsidRPr="00A8104E">
        <w:t>or Gifted Individuals</w:t>
      </w:r>
      <w:r w:rsidR="00A8104E">
        <w:rPr>
          <w:b/>
        </w:rPr>
        <w:t xml:space="preserve"> </w:t>
      </w:r>
      <w:r w:rsidR="00224F05">
        <w:rPr>
          <w:b/>
        </w:rPr>
        <w:t xml:space="preserve">(“the Fund”) </w:t>
      </w:r>
      <w:r>
        <w:t xml:space="preserve">is to assist </w:t>
      </w:r>
      <w:r w:rsidR="006D59AD">
        <w:t xml:space="preserve">gifted </w:t>
      </w:r>
      <w:r w:rsidR="00E128E0">
        <w:t xml:space="preserve">or talented </w:t>
      </w:r>
      <w:r w:rsidR="006D59AD">
        <w:t>individuals who suffer with</w:t>
      </w:r>
      <w:r>
        <w:t xml:space="preserve"> Erb</w:t>
      </w:r>
      <w:r w:rsidR="00C964F3">
        <w:t>’</w:t>
      </w:r>
      <w:r>
        <w:t>s Palsy to pursue</w:t>
      </w:r>
      <w:r w:rsidR="007D1D01">
        <w:t xml:space="preserve"> personal</w:t>
      </w:r>
      <w:r>
        <w:t xml:space="preserve"> goals</w:t>
      </w:r>
      <w:r w:rsidR="007D1D01">
        <w:t xml:space="preserve"> that they may otherwise be hindered in </w:t>
      </w:r>
      <w:r w:rsidR="00E2658D">
        <w:t>pursuing</w:t>
      </w:r>
      <w:r w:rsidR="007D1D01">
        <w:t xml:space="preserve"> </w:t>
      </w:r>
      <w:r w:rsidR="00E2658D">
        <w:t>due to</w:t>
      </w:r>
      <w:r w:rsidR="007D1D01">
        <w:t xml:space="preserve"> financial constraint</w:t>
      </w:r>
      <w:r w:rsidR="00E2658D">
        <w:t>s</w:t>
      </w:r>
      <w:r w:rsidR="007D1D01">
        <w:t>.</w:t>
      </w:r>
      <w:r>
        <w:t xml:space="preserve"> </w:t>
      </w:r>
      <w:r w:rsidR="007D1D01">
        <w:t xml:space="preserve"> </w:t>
      </w:r>
      <w:r w:rsidR="00FA2A92">
        <w:t>Where the eligibility criteria is met, f</w:t>
      </w:r>
      <w:r>
        <w:t>inancial support</w:t>
      </w:r>
      <w:r w:rsidR="007D1D01">
        <w:t xml:space="preserve"> will be provided by </w:t>
      </w:r>
      <w:r w:rsidR="00FA2A92">
        <w:t xml:space="preserve">way of </w:t>
      </w:r>
      <w:r w:rsidR="007D1D01">
        <w:t>a single lump s</w:t>
      </w:r>
      <w:r w:rsidR="00FA2A92">
        <w:t xml:space="preserve">um payment, the amount to be determined taking into account </w:t>
      </w:r>
      <w:r w:rsidR="0095271C">
        <w:t xml:space="preserve">all </w:t>
      </w:r>
      <w:r w:rsidR="00FA2A92">
        <w:t>the circumstances of the individual application.</w:t>
      </w:r>
      <w:r w:rsidR="0095271C">
        <w:t xml:space="preserve"> </w:t>
      </w:r>
    </w:p>
    <w:p w:rsidR="002A7866" w:rsidRDefault="002A7866" w:rsidP="0095271C">
      <w:pPr>
        <w:pStyle w:val="NoSpacing"/>
        <w:jc w:val="both"/>
      </w:pPr>
    </w:p>
    <w:p w:rsidR="00FA2A92" w:rsidRPr="003768A9" w:rsidRDefault="00FA2A92" w:rsidP="0095271C">
      <w:pPr>
        <w:pStyle w:val="NoSpacing"/>
        <w:jc w:val="both"/>
        <w:rPr>
          <w:b/>
        </w:rPr>
      </w:pPr>
      <w:r w:rsidRPr="003768A9">
        <w:rPr>
          <w:b/>
        </w:rPr>
        <w:t>Eligibility Criteria</w:t>
      </w:r>
    </w:p>
    <w:p w:rsidR="00FA2A92" w:rsidRDefault="00FA2A92" w:rsidP="0095271C">
      <w:pPr>
        <w:pStyle w:val="NoSpacing"/>
        <w:jc w:val="both"/>
      </w:pPr>
    </w:p>
    <w:p w:rsidR="002A7866" w:rsidRDefault="00A8104E" w:rsidP="00E41EF5">
      <w:pPr>
        <w:pStyle w:val="NoSpacing"/>
        <w:numPr>
          <w:ilvl w:val="0"/>
          <w:numId w:val="1"/>
        </w:numPr>
        <w:ind w:left="567" w:hanging="567"/>
        <w:jc w:val="both"/>
      </w:pPr>
      <w:r>
        <w:t>The Applicant h</w:t>
      </w:r>
      <w:r w:rsidR="00E41EF5">
        <w:t>as the condition</w:t>
      </w:r>
      <w:r w:rsidR="00E85820">
        <w:t xml:space="preserve"> of </w:t>
      </w:r>
      <w:proofErr w:type="spellStart"/>
      <w:r w:rsidR="002A7866">
        <w:t>Erbs</w:t>
      </w:r>
      <w:proofErr w:type="spellEnd"/>
      <w:r w:rsidR="002A7866">
        <w:t xml:space="preserve"> Palsy</w:t>
      </w:r>
      <w:r w:rsidR="00E128E0">
        <w:t>; and</w:t>
      </w:r>
    </w:p>
    <w:p w:rsidR="00417997" w:rsidRDefault="00417997" w:rsidP="00E41EF5">
      <w:pPr>
        <w:pStyle w:val="NoSpacing"/>
        <w:ind w:left="567" w:hanging="567"/>
        <w:jc w:val="both"/>
      </w:pPr>
    </w:p>
    <w:p w:rsidR="002A7866" w:rsidRDefault="00A8104E" w:rsidP="00E41EF5">
      <w:pPr>
        <w:pStyle w:val="NoSpacing"/>
        <w:numPr>
          <w:ilvl w:val="0"/>
          <w:numId w:val="1"/>
        </w:numPr>
        <w:ind w:left="567" w:hanging="567"/>
        <w:jc w:val="both"/>
      </w:pPr>
      <w:r>
        <w:t>The Applicant is r</w:t>
      </w:r>
      <w:r w:rsidR="002A7866">
        <w:t>esident in the United Kingdom</w:t>
      </w:r>
      <w:r w:rsidR="00E128E0">
        <w:t>; and</w:t>
      </w:r>
    </w:p>
    <w:p w:rsidR="003768A9" w:rsidRDefault="003768A9" w:rsidP="00E41EF5">
      <w:pPr>
        <w:pStyle w:val="ListParagraph"/>
        <w:ind w:left="567" w:hanging="567"/>
        <w:jc w:val="both"/>
      </w:pPr>
    </w:p>
    <w:p w:rsidR="003768A9" w:rsidRDefault="00A8104E" w:rsidP="00E41EF5">
      <w:pPr>
        <w:pStyle w:val="NoSpacing"/>
        <w:numPr>
          <w:ilvl w:val="0"/>
          <w:numId w:val="1"/>
        </w:numPr>
        <w:ind w:left="567" w:hanging="567"/>
        <w:jc w:val="both"/>
      </w:pPr>
      <w:r>
        <w:t>The Applicant is a</w:t>
      </w:r>
      <w:r w:rsidR="003768A9">
        <w:t xml:space="preserve">ged between  </w:t>
      </w:r>
      <w:r w:rsidR="003768A9" w:rsidRPr="00F65926">
        <w:t>12 years – 25 years</w:t>
      </w:r>
      <w:r w:rsidR="00E128E0">
        <w:t>; and</w:t>
      </w:r>
    </w:p>
    <w:p w:rsidR="00417997" w:rsidRDefault="00417997" w:rsidP="00E41EF5">
      <w:pPr>
        <w:pStyle w:val="NoSpacing"/>
        <w:ind w:left="567" w:hanging="567"/>
        <w:jc w:val="both"/>
      </w:pPr>
    </w:p>
    <w:p w:rsidR="002A7866" w:rsidRDefault="00A8104E" w:rsidP="00E41EF5">
      <w:pPr>
        <w:pStyle w:val="NoSpacing"/>
        <w:numPr>
          <w:ilvl w:val="0"/>
          <w:numId w:val="1"/>
        </w:numPr>
        <w:ind w:left="567" w:hanging="567"/>
        <w:jc w:val="both"/>
      </w:pPr>
      <w:r>
        <w:t>The Applicant h</w:t>
      </w:r>
      <w:r w:rsidR="002A7866">
        <w:t>as been recognised</w:t>
      </w:r>
      <w:r w:rsidR="00FA2A92">
        <w:t xml:space="preserve"> </w:t>
      </w:r>
      <w:r w:rsidR="002A7866">
        <w:t xml:space="preserve">as </w:t>
      </w:r>
      <w:r w:rsidR="00A939DA">
        <w:t>progressing in</w:t>
      </w:r>
      <w:r w:rsidR="002A7866">
        <w:t xml:space="preserve"> or having a talent in one </w:t>
      </w:r>
      <w:r w:rsidR="003A680E">
        <w:t xml:space="preserve">of </w:t>
      </w:r>
      <w:r w:rsidR="002A7866">
        <w:t>the following:</w:t>
      </w:r>
    </w:p>
    <w:p w:rsidR="002A7866" w:rsidRDefault="002A7866" w:rsidP="00E41EF5">
      <w:pPr>
        <w:pStyle w:val="NoSpacing"/>
        <w:ind w:left="567" w:hanging="567"/>
        <w:jc w:val="both"/>
      </w:pPr>
    </w:p>
    <w:p w:rsidR="002A7866" w:rsidRDefault="002A7866" w:rsidP="00E41EF5">
      <w:pPr>
        <w:pStyle w:val="NoSpacing"/>
        <w:numPr>
          <w:ilvl w:val="0"/>
          <w:numId w:val="4"/>
        </w:numPr>
        <w:ind w:left="1134" w:hanging="567"/>
        <w:jc w:val="both"/>
      </w:pPr>
      <w:r>
        <w:t>Sports</w:t>
      </w:r>
    </w:p>
    <w:p w:rsidR="002A7866" w:rsidRDefault="002A7866" w:rsidP="00E41EF5">
      <w:pPr>
        <w:pStyle w:val="NoSpacing"/>
        <w:numPr>
          <w:ilvl w:val="0"/>
          <w:numId w:val="4"/>
        </w:numPr>
        <w:ind w:left="1134" w:hanging="567"/>
        <w:jc w:val="both"/>
      </w:pPr>
      <w:r>
        <w:t>Arts</w:t>
      </w:r>
    </w:p>
    <w:p w:rsidR="002A7866" w:rsidRDefault="002A7866" w:rsidP="00E41EF5">
      <w:pPr>
        <w:pStyle w:val="NoSpacing"/>
        <w:numPr>
          <w:ilvl w:val="0"/>
          <w:numId w:val="4"/>
        </w:numPr>
        <w:ind w:left="1134" w:hanging="567"/>
        <w:jc w:val="both"/>
      </w:pPr>
      <w:r>
        <w:t>Music</w:t>
      </w:r>
    </w:p>
    <w:p w:rsidR="00594EE1" w:rsidRDefault="00594EE1" w:rsidP="00E41EF5">
      <w:pPr>
        <w:pStyle w:val="NoSpacing"/>
        <w:ind w:left="1134"/>
        <w:jc w:val="both"/>
      </w:pPr>
    </w:p>
    <w:p w:rsidR="0079129C" w:rsidRPr="003768A9" w:rsidRDefault="003549BC" w:rsidP="0095271C">
      <w:pPr>
        <w:pStyle w:val="NoSpacing"/>
        <w:jc w:val="both"/>
        <w:rPr>
          <w:b/>
        </w:rPr>
      </w:pPr>
      <w:r w:rsidRPr="003768A9">
        <w:rPr>
          <w:b/>
        </w:rPr>
        <w:t>E</w:t>
      </w:r>
      <w:r w:rsidR="0079129C" w:rsidRPr="003768A9">
        <w:rPr>
          <w:b/>
        </w:rPr>
        <w:t>xamples of applications which will be considered</w:t>
      </w:r>
    </w:p>
    <w:p w:rsidR="0079129C" w:rsidRDefault="0079129C" w:rsidP="0095271C">
      <w:pPr>
        <w:pStyle w:val="NoSpacing"/>
        <w:ind w:left="360"/>
        <w:jc w:val="both"/>
      </w:pPr>
    </w:p>
    <w:p w:rsidR="00F658CD" w:rsidRDefault="0079129C" w:rsidP="00E41EF5">
      <w:pPr>
        <w:pStyle w:val="NoSpacing"/>
        <w:numPr>
          <w:ilvl w:val="0"/>
          <w:numId w:val="6"/>
        </w:numPr>
        <w:ind w:left="567" w:hanging="567"/>
        <w:jc w:val="both"/>
      </w:pPr>
      <w:r>
        <w:t xml:space="preserve">Travel/accommodation costs for </w:t>
      </w:r>
      <w:r w:rsidR="00A8104E">
        <w:t xml:space="preserve">the </w:t>
      </w:r>
      <w:r>
        <w:t>applicant</w:t>
      </w:r>
      <w:r w:rsidR="00F65926">
        <w:t xml:space="preserve"> and 1 accompanying adult</w:t>
      </w:r>
      <w:r>
        <w:t xml:space="preserve"> </w:t>
      </w:r>
      <w:r w:rsidR="00FF369E">
        <w:t xml:space="preserve">where individual </w:t>
      </w:r>
      <w:r w:rsidR="002A11DB">
        <w:t>is</w:t>
      </w:r>
      <w:r w:rsidR="00E2658D">
        <w:t xml:space="preserve"> to</w:t>
      </w:r>
      <w:r w:rsidR="00FF369E">
        <w:t xml:space="preserve"> participate in </w:t>
      </w:r>
      <w:r>
        <w:t xml:space="preserve">competitions, </w:t>
      </w:r>
      <w:r w:rsidR="00F658CD">
        <w:t>training</w:t>
      </w:r>
      <w:r w:rsidR="00FF369E">
        <w:t xml:space="preserve"> events and the l</w:t>
      </w:r>
      <w:r w:rsidR="00844D4C">
        <w:t>i</w:t>
      </w:r>
      <w:r w:rsidR="00FF369E">
        <w:t>ke.</w:t>
      </w:r>
      <w:r w:rsidR="00F658CD">
        <w:t xml:space="preserve"> </w:t>
      </w:r>
    </w:p>
    <w:p w:rsidR="00F658CD" w:rsidRDefault="00F658CD" w:rsidP="00E41EF5">
      <w:pPr>
        <w:pStyle w:val="NoSpacing"/>
        <w:ind w:left="567" w:hanging="567"/>
        <w:jc w:val="both"/>
      </w:pPr>
    </w:p>
    <w:p w:rsidR="007C7432" w:rsidRDefault="00C964F3" w:rsidP="00E41EF5">
      <w:pPr>
        <w:pStyle w:val="NoSpacing"/>
        <w:numPr>
          <w:ilvl w:val="0"/>
          <w:numId w:val="6"/>
        </w:numPr>
        <w:ind w:left="567" w:hanging="567"/>
        <w:jc w:val="both"/>
      </w:pPr>
      <w:r>
        <w:t xml:space="preserve">Competition </w:t>
      </w:r>
      <w:r w:rsidR="007C7432" w:rsidRPr="003A680E">
        <w:t>Entry</w:t>
      </w:r>
      <w:r w:rsidR="003A680E" w:rsidRPr="003A680E">
        <w:t xml:space="preserve"> fees</w:t>
      </w:r>
    </w:p>
    <w:p w:rsidR="00A939DA" w:rsidRDefault="00A939DA" w:rsidP="00A939DA">
      <w:pPr>
        <w:pStyle w:val="ListParagraph"/>
      </w:pPr>
    </w:p>
    <w:p w:rsidR="00A939DA" w:rsidRPr="003A680E" w:rsidRDefault="00A939DA" w:rsidP="00E41EF5">
      <w:pPr>
        <w:pStyle w:val="NoSpacing"/>
        <w:numPr>
          <w:ilvl w:val="0"/>
          <w:numId w:val="6"/>
        </w:numPr>
        <w:ind w:left="567" w:hanging="567"/>
        <w:jc w:val="both"/>
      </w:pPr>
      <w:r>
        <w:t>Exam fees</w:t>
      </w:r>
    </w:p>
    <w:p w:rsidR="007C7432" w:rsidRDefault="007C7432" w:rsidP="00E41EF5">
      <w:pPr>
        <w:pStyle w:val="NoSpacing"/>
        <w:ind w:left="567" w:hanging="567"/>
        <w:jc w:val="both"/>
      </w:pPr>
    </w:p>
    <w:p w:rsidR="0079129C" w:rsidRDefault="00C964F3" w:rsidP="00E41EF5">
      <w:pPr>
        <w:pStyle w:val="NoSpacing"/>
        <w:numPr>
          <w:ilvl w:val="0"/>
          <w:numId w:val="6"/>
        </w:numPr>
        <w:ind w:left="567" w:hanging="567"/>
        <w:jc w:val="both"/>
      </w:pPr>
      <w:r>
        <w:t xml:space="preserve">Associated </w:t>
      </w:r>
      <w:r w:rsidR="000122D2">
        <w:t>E</w:t>
      </w:r>
      <w:r w:rsidR="00F658CD">
        <w:t xml:space="preserve">quipment </w:t>
      </w:r>
      <w:r w:rsidR="0079129C">
        <w:t xml:space="preserve">  </w:t>
      </w:r>
    </w:p>
    <w:p w:rsidR="00E2658D" w:rsidRDefault="00E2658D" w:rsidP="00E41EF5">
      <w:pPr>
        <w:pStyle w:val="ListParagraph"/>
        <w:ind w:left="567" w:hanging="567"/>
        <w:jc w:val="both"/>
      </w:pPr>
    </w:p>
    <w:p w:rsidR="00E2658D" w:rsidRDefault="003A680E" w:rsidP="00E41EF5">
      <w:pPr>
        <w:pStyle w:val="NoSpacing"/>
        <w:numPr>
          <w:ilvl w:val="0"/>
          <w:numId w:val="6"/>
        </w:numPr>
        <w:ind w:left="567" w:hanging="567"/>
        <w:jc w:val="both"/>
      </w:pPr>
      <w:r>
        <w:t>Uniforms/sportswear/training suits/footwear</w:t>
      </w:r>
    </w:p>
    <w:p w:rsidR="0079129C" w:rsidRDefault="0079129C" w:rsidP="0095271C">
      <w:pPr>
        <w:pStyle w:val="NoSpacing"/>
        <w:ind w:left="360"/>
        <w:jc w:val="both"/>
      </w:pPr>
    </w:p>
    <w:p w:rsidR="004B3E09" w:rsidRDefault="003549BC" w:rsidP="0095271C">
      <w:pPr>
        <w:pStyle w:val="NoSpacing"/>
        <w:jc w:val="both"/>
      </w:pPr>
      <w:r>
        <w:t xml:space="preserve">Whilst applicants will not be confined to a </w:t>
      </w:r>
      <w:r w:rsidR="00D2392C">
        <w:t>one</w:t>
      </w:r>
      <w:r>
        <w:t xml:space="preserve"> </w:t>
      </w:r>
      <w:r w:rsidR="00C964F3">
        <w:t xml:space="preserve">off </w:t>
      </w:r>
      <w:r>
        <w:t xml:space="preserve">grant, </w:t>
      </w:r>
      <w:r w:rsidR="00D2392C">
        <w:t>this fund is intended to be used for one off payments</w:t>
      </w:r>
      <w:r w:rsidR="000122D2">
        <w:t xml:space="preserve"> for specific items of expenditure</w:t>
      </w:r>
      <w:r w:rsidR="00D2392C">
        <w:t>, rather than regular</w:t>
      </w:r>
      <w:r>
        <w:t xml:space="preserve"> ongoing </w:t>
      </w:r>
      <w:r w:rsidR="00D2392C">
        <w:t>expenses such as club</w:t>
      </w:r>
      <w:r w:rsidR="000122D2">
        <w:t>/activity</w:t>
      </w:r>
      <w:r w:rsidR="00D2392C">
        <w:t xml:space="preserve"> membership fees, music </w:t>
      </w:r>
      <w:r w:rsidR="000122D2">
        <w:t xml:space="preserve">or swimming </w:t>
      </w:r>
      <w:r w:rsidR="00D2392C">
        <w:t>lessons</w:t>
      </w:r>
      <w:r w:rsidR="000122D2">
        <w:t>.</w:t>
      </w:r>
      <w:r w:rsidR="00D2392C">
        <w:t xml:space="preserve"> </w:t>
      </w:r>
    </w:p>
    <w:p w:rsidR="003549BC" w:rsidRDefault="003549BC" w:rsidP="0095271C">
      <w:pPr>
        <w:pStyle w:val="NoSpacing"/>
        <w:ind w:left="360"/>
        <w:jc w:val="both"/>
      </w:pPr>
    </w:p>
    <w:p w:rsidR="00A939DA" w:rsidRDefault="00A939DA">
      <w:pPr>
        <w:rPr>
          <w:b/>
        </w:rPr>
      </w:pPr>
      <w:r>
        <w:rPr>
          <w:b/>
        </w:rPr>
        <w:br w:type="page"/>
      </w:r>
    </w:p>
    <w:p w:rsidR="00A939DA" w:rsidRDefault="00A939DA" w:rsidP="0095271C">
      <w:pPr>
        <w:pStyle w:val="NoSpacing"/>
        <w:jc w:val="both"/>
        <w:rPr>
          <w:b/>
        </w:rPr>
      </w:pPr>
    </w:p>
    <w:p w:rsidR="00073D41" w:rsidRPr="003768A9" w:rsidRDefault="00073D41" w:rsidP="0095271C">
      <w:pPr>
        <w:pStyle w:val="NoSpacing"/>
        <w:jc w:val="both"/>
        <w:rPr>
          <w:b/>
        </w:rPr>
      </w:pPr>
      <w:r w:rsidRPr="003768A9">
        <w:rPr>
          <w:b/>
        </w:rPr>
        <w:t>Application Process</w:t>
      </w:r>
    </w:p>
    <w:p w:rsidR="00073D41" w:rsidRDefault="00073D41" w:rsidP="0095271C">
      <w:pPr>
        <w:pStyle w:val="NoSpacing"/>
        <w:ind w:left="360"/>
        <w:jc w:val="both"/>
      </w:pPr>
    </w:p>
    <w:p w:rsidR="00A8104E" w:rsidRDefault="00A8104E" w:rsidP="0095271C">
      <w:pPr>
        <w:pStyle w:val="NoSpacing"/>
        <w:jc w:val="both"/>
      </w:pPr>
      <w:r>
        <w:t>Applications should be made using the relevant application form and submitted b</w:t>
      </w:r>
      <w:r w:rsidR="003768A9">
        <w:t>y post</w:t>
      </w:r>
      <w:r w:rsidR="00C964F3">
        <w:t>, email or via the E</w:t>
      </w:r>
      <w:r w:rsidR="00B54AE8">
        <w:t xml:space="preserve">rb’s </w:t>
      </w:r>
      <w:r w:rsidR="00C964F3">
        <w:t>P</w:t>
      </w:r>
      <w:r w:rsidR="00B54AE8">
        <w:t xml:space="preserve">alsy </w:t>
      </w:r>
      <w:r w:rsidR="00C964F3">
        <w:t>G</w:t>
      </w:r>
      <w:r w:rsidR="00B54AE8">
        <w:t>roup</w:t>
      </w:r>
      <w:r w:rsidR="00C964F3">
        <w:t xml:space="preserve"> </w:t>
      </w:r>
      <w:r w:rsidR="00B54AE8" w:rsidRPr="00526586">
        <w:t>“EPG”</w:t>
      </w:r>
      <w:r w:rsidR="00B54AE8">
        <w:t xml:space="preserve"> </w:t>
      </w:r>
      <w:r w:rsidR="00C964F3">
        <w:t>website</w:t>
      </w:r>
      <w:r w:rsidR="000122D2">
        <w:t>.</w:t>
      </w:r>
      <w:r w:rsidR="00073D41">
        <w:t xml:space="preserve"> </w:t>
      </w:r>
    </w:p>
    <w:p w:rsidR="00A8104E" w:rsidRDefault="00A8104E" w:rsidP="0095271C">
      <w:pPr>
        <w:pStyle w:val="NoSpacing"/>
        <w:jc w:val="both"/>
      </w:pPr>
    </w:p>
    <w:p w:rsidR="00A8104E" w:rsidRDefault="00A8104E" w:rsidP="0095271C">
      <w:pPr>
        <w:pStyle w:val="NoSpacing"/>
        <w:jc w:val="both"/>
      </w:pPr>
      <w:r>
        <w:t>Address for applications</w:t>
      </w:r>
      <w:r w:rsidR="00C964F3">
        <w:t>:</w:t>
      </w:r>
    </w:p>
    <w:p w:rsidR="00A8104E" w:rsidRDefault="00A8104E" w:rsidP="0095271C">
      <w:pPr>
        <w:pStyle w:val="NoSpacing"/>
        <w:jc w:val="both"/>
      </w:pPr>
    </w:p>
    <w:p w:rsidR="00526586" w:rsidRDefault="00526586" w:rsidP="0095271C">
      <w:pPr>
        <w:pStyle w:val="NoSpacing"/>
        <w:jc w:val="both"/>
      </w:pPr>
      <w:r>
        <w:t>Post:</w:t>
      </w:r>
    </w:p>
    <w:p w:rsidR="00A8104E" w:rsidRDefault="00A8104E" w:rsidP="0095271C">
      <w:pPr>
        <w:pStyle w:val="NoSpacing"/>
        <w:jc w:val="both"/>
      </w:pPr>
      <w:r>
        <w:t>Clair Hemming</w:t>
      </w:r>
    </w:p>
    <w:p w:rsidR="00A8104E" w:rsidRDefault="00113C4E" w:rsidP="0095271C">
      <w:pPr>
        <w:pStyle w:val="NoSpacing"/>
        <w:jc w:val="both"/>
      </w:pPr>
      <w:r>
        <w:t>Broadview</w:t>
      </w:r>
    </w:p>
    <w:p w:rsidR="00A8104E" w:rsidRDefault="00113C4E" w:rsidP="0095271C">
      <w:pPr>
        <w:pStyle w:val="NoSpacing"/>
        <w:jc w:val="both"/>
      </w:pPr>
      <w:proofErr w:type="spellStart"/>
      <w:r>
        <w:t>Broadhembry</w:t>
      </w:r>
      <w:proofErr w:type="spellEnd"/>
    </w:p>
    <w:p w:rsidR="00A8104E" w:rsidRDefault="00113C4E" w:rsidP="0095271C">
      <w:pPr>
        <w:pStyle w:val="NoSpacing"/>
        <w:jc w:val="both"/>
      </w:pPr>
      <w:r>
        <w:t>EX14 3LW</w:t>
      </w:r>
    </w:p>
    <w:p w:rsidR="00C964F3" w:rsidRDefault="00C964F3" w:rsidP="0095271C">
      <w:pPr>
        <w:pStyle w:val="NoSpacing"/>
        <w:jc w:val="both"/>
      </w:pPr>
    </w:p>
    <w:p w:rsidR="00526586" w:rsidRDefault="00526586" w:rsidP="0095271C">
      <w:pPr>
        <w:pStyle w:val="NoSpacing"/>
        <w:jc w:val="both"/>
      </w:pPr>
      <w:r>
        <w:t>Email:</w:t>
      </w:r>
    </w:p>
    <w:p w:rsidR="00C964F3" w:rsidRDefault="00C964F3" w:rsidP="0095271C">
      <w:pPr>
        <w:pStyle w:val="NoSpacing"/>
        <w:jc w:val="both"/>
      </w:pPr>
      <w:r>
        <w:t>clair@erbspalsygroup.co.uk</w:t>
      </w:r>
    </w:p>
    <w:p w:rsidR="00A8104E" w:rsidRDefault="00A8104E" w:rsidP="0095271C">
      <w:pPr>
        <w:pStyle w:val="NoSpacing"/>
        <w:jc w:val="both"/>
      </w:pPr>
    </w:p>
    <w:p w:rsidR="00526586" w:rsidRDefault="00526586" w:rsidP="0095271C">
      <w:pPr>
        <w:pStyle w:val="NoSpacing"/>
        <w:jc w:val="both"/>
      </w:pPr>
      <w:r>
        <w:t>Website:</w:t>
      </w:r>
    </w:p>
    <w:p w:rsidR="00526586" w:rsidRDefault="00F07AC9" w:rsidP="0095271C">
      <w:pPr>
        <w:pStyle w:val="NoSpacing"/>
        <w:jc w:val="both"/>
      </w:pPr>
      <w:hyperlink r:id="rId6" w:history="1">
        <w:r w:rsidR="00526586" w:rsidRPr="000E57C2">
          <w:rPr>
            <w:rStyle w:val="Hyperlink"/>
          </w:rPr>
          <w:t>www.erbspalsygroup.co.uk</w:t>
        </w:r>
      </w:hyperlink>
    </w:p>
    <w:p w:rsidR="00526586" w:rsidRDefault="00526586" w:rsidP="0095271C">
      <w:pPr>
        <w:pStyle w:val="NoSpacing"/>
        <w:jc w:val="both"/>
      </w:pPr>
    </w:p>
    <w:p w:rsidR="005A352C" w:rsidRDefault="0095271C" w:rsidP="0095271C">
      <w:pPr>
        <w:pStyle w:val="NoSpacing"/>
        <w:jc w:val="both"/>
      </w:pPr>
      <w:r>
        <w:t>The</w:t>
      </w:r>
      <w:r w:rsidR="00073D41">
        <w:t xml:space="preserve"> Application</w:t>
      </w:r>
      <w:r>
        <w:t xml:space="preserve"> Form</w:t>
      </w:r>
      <w:r w:rsidR="00073D41">
        <w:t xml:space="preserve"> will be</w:t>
      </w:r>
      <w:r w:rsidR="00A8104E">
        <w:t xml:space="preserve"> considered by the </w:t>
      </w:r>
      <w:r w:rsidR="007D16FA" w:rsidRPr="00526586">
        <w:t>“</w:t>
      </w:r>
      <w:r w:rsidR="00A8104E" w:rsidRPr="00526586">
        <w:t>Panel</w:t>
      </w:r>
      <w:r w:rsidR="007D16FA" w:rsidRPr="00526586">
        <w:t>”</w:t>
      </w:r>
      <w:r w:rsidR="00A8104E" w:rsidRPr="00526586">
        <w:t>,</w:t>
      </w:r>
      <w:r w:rsidR="00A8104E">
        <w:t xml:space="preserve"> </w:t>
      </w:r>
      <w:r w:rsidR="000122D2">
        <w:t>3</w:t>
      </w:r>
      <w:r w:rsidR="00C40FA7">
        <w:t xml:space="preserve"> </w:t>
      </w:r>
      <w:r w:rsidR="00A8104E">
        <w:t>Trustees</w:t>
      </w:r>
      <w:r w:rsidR="00C40FA7">
        <w:t xml:space="preserve"> of the </w:t>
      </w:r>
      <w:r w:rsidR="00B54AE8">
        <w:t>EPG</w:t>
      </w:r>
      <w:r w:rsidR="000122D2">
        <w:t xml:space="preserve"> CIO</w:t>
      </w:r>
      <w:r w:rsidR="00B54AE8" w:rsidRPr="00B54AE8">
        <w:t>.</w:t>
      </w:r>
      <w:r w:rsidR="00B54AE8">
        <w:rPr>
          <w:color w:val="FF0000"/>
        </w:rPr>
        <w:t xml:space="preserve"> </w:t>
      </w:r>
      <w:r w:rsidR="00C40FA7">
        <w:t>The Panel will consider any applications on a monthly basis</w:t>
      </w:r>
      <w:r w:rsidR="004B3E09">
        <w:t xml:space="preserve"> and </w:t>
      </w:r>
      <w:r w:rsidR="00E128E0">
        <w:t xml:space="preserve">the </w:t>
      </w:r>
      <w:r w:rsidR="004B3E09">
        <w:t xml:space="preserve">applicant </w:t>
      </w:r>
      <w:r>
        <w:t xml:space="preserve">will </w:t>
      </w:r>
      <w:r w:rsidR="00C964F3">
        <w:t xml:space="preserve">be </w:t>
      </w:r>
      <w:r w:rsidR="004B3E09">
        <w:t xml:space="preserve">notified </w:t>
      </w:r>
      <w:r w:rsidR="007D16FA">
        <w:t xml:space="preserve">of the decision </w:t>
      </w:r>
      <w:r w:rsidR="004B3E09">
        <w:t>accordingly.</w:t>
      </w:r>
    </w:p>
    <w:p w:rsidR="005A352C" w:rsidRDefault="005A352C" w:rsidP="0095271C">
      <w:pPr>
        <w:pStyle w:val="NoSpacing"/>
        <w:ind w:left="360"/>
        <w:jc w:val="both"/>
      </w:pPr>
    </w:p>
    <w:p w:rsidR="00A939DA" w:rsidRDefault="00A939DA" w:rsidP="00E41EF5">
      <w:pPr>
        <w:pStyle w:val="NoSpacing"/>
        <w:jc w:val="both"/>
        <w:rPr>
          <w:b/>
        </w:rPr>
      </w:pPr>
    </w:p>
    <w:p w:rsidR="00BF64B2" w:rsidRDefault="00B65296" w:rsidP="00E41EF5">
      <w:pPr>
        <w:pStyle w:val="NoSpacing"/>
        <w:jc w:val="both"/>
        <w:rPr>
          <w:b/>
        </w:rPr>
      </w:pPr>
      <w:r w:rsidRPr="003768A9">
        <w:rPr>
          <w:b/>
        </w:rPr>
        <w:t>Conditions</w:t>
      </w:r>
    </w:p>
    <w:p w:rsidR="00A939DA" w:rsidRPr="003768A9" w:rsidRDefault="00A939DA" w:rsidP="00E41EF5">
      <w:pPr>
        <w:pStyle w:val="NoSpacing"/>
        <w:jc w:val="both"/>
        <w:rPr>
          <w:b/>
        </w:rPr>
      </w:pPr>
    </w:p>
    <w:p w:rsidR="007D16FA" w:rsidRDefault="007D16FA" w:rsidP="007D16FA">
      <w:pPr>
        <w:pStyle w:val="ListParagraph"/>
        <w:ind w:left="567"/>
        <w:jc w:val="both"/>
        <w:rPr>
          <w:rFonts w:cs="Tahoma"/>
          <w:color w:val="000000"/>
        </w:rPr>
      </w:pPr>
    </w:p>
    <w:p w:rsidR="007D16FA" w:rsidRDefault="007D16FA" w:rsidP="007D16FA">
      <w:pPr>
        <w:pStyle w:val="NoSpacing"/>
        <w:numPr>
          <w:ilvl w:val="0"/>
          <w:numId w:val="9"/>
        </w:numPr>
        <w:ind w:left="567" w:hanging="567"/>
        <w:jc w:val="both"/>
      </w:pPr>
      <w:r>
        <w:t xml:space="preserve">Each application will be considered </w:t>
      </w:r>
      <w:r w:rsidR="00C964F3">
        <w:t>o</w:t>
      </w:r>
      <w:r>
        <w:t>n its own merits.</w:t>
      </w:r>
    </w:p>
    <w:p w:rsidR="00DD4A8F" w:rsidRDefault="00DD4A8F" w:rsidP="00E41EF5">
      <w:pPr>
        <w:pStyle w:val="NoSpacing"/>
        <w:ind w:left="567" w:hanging="567"/>
        <w:jc w:val="both"/>
      </w:pPr>
    </w:p>
    <w:p w:rsidR="00DD4A8F" w:rsidRDefault="00DD4A8F" w:rsidP="00E41EF5">
      <w:pPr>
        <w:pStyle w:val="NoSpacing"/>
        <w:numPr>
          <w:ilvl w:val="0"/>
          <w:numId w:val="9"/>
        </w:numPr>
        <w:ind w:left="567" w:hanging="567"/>
        <w:jc w:val="both"/>
      </w:pPr>
      <w:r>
        <w:t xml:space="preserve">Direct payments will be the preferred method of payment – </w:t>
      </w:r>
      <w:proofErr w:type="spellStart"/>
      <w:r>
        <w:t>i.e</w:t>
      </w:r>
      <w:proofErr w:type="spellEnd"/>
      <w:r>
        <w:t xml:space="preserve"> to the hotel, event organiser.  </w:t>
      </w:r>
    </w:p>
    <w:p w:rsidR="00DD4A8F" w:rsidRDefault="00DD4A8F" w:rsidP="00E41EF5">
      <w:pPr>
        <w:pStyle w:val="NoSpacing"/>
        <w:ind w:left="567" w:hanging="567"/>
        <w:jc w:val="both"/>
      </w:pPr>
    </w:p>
    <w:p w:rsidR="00DD4A8F" w:rsidRDefault="00A939DA" w:rsidP="00E41EF5">
      <w:pPr>
        <w:pStyle w:val="NoSpacing"/>
        <w:numPr>
          <w:ilvl w:val="0"/>
          <w:numId w:val="9"/>
        </w:numPr>
        <w:ind w:left="567" w:hanging="567"/>
        <w:jc w:val="both"/>
      </w:pPr>
      <w:r>
        <w:t>Evidence</w:t>
      </w:r>
      <w:r w:rsidR="00DD4A8F">
        <w:t xml:space="preserve"> </w:t>
      </w:r>
      <w:r w:rsidR="004161AC">
        <w:t>may</w:t>
      </w:r>
      <w:r w:rsidR="00DD4A8F">
        <w:t xml:space="preserve"> be required, and where appropriate “value for money” will need to be demonstrated, </w:t>
      </w:r>
      <w:proofErr w:type="spellStart"/>
      <w:r w:rsidR="00DD4A8F">
        <w:t>i.e</w:t>
      </w:r>
      <w:proofErr w:type="spellEnd"/>
      <w:r w:rsidR="00DD4A8F">
        <w:t xml:space="preserve"> price comparisons for accommodation, </w:t>
      </w:r>
      <w:r w:rsidR="0095271C">
        <w:t>cheapest travel option used</w:t>
      </w:r>
      <w:r w:rsidR="00DD4A8F">
        <w:t xml:space="preserve">. </w:t>
      </w:r>
    </w:p>
    <w:p w:rsidR="00DD4A8F" w:rsidRDefault="00DD4A8F" w:rsidP="00E41EF5">
      <w:pPr>
        <w:pStyle w:val="NoSpacing"/>
        <w:ind w:left="567" w:hanging="567"/>
        <w:jc w:val="both"/>
      </w:pPr>
    </w:p>
    <w:p w:rsidR="00973B32" w:rsidRDefault="00DD4A8F" w:rsidP="00E41EF5">
      <w:pPr>
        <w:pStyle w:val="NoSpacing"/>
        <w:numPr>
          <w:ilvl w:val="0"/>
          <w:numId w:val="9"/>
        </w:numPr>
        <w:ind w:left="567" w:hanging="567"/>
        <w:jc w:val="both"/>
      </w:pPr>
      <w:r>
        <w:t xml:space="preserve">There is </w:t>
      </w:r>
      <w:r w:rsidR="00973B32">
        <w:t>a</w:t>
      </w:r>
      <w:r>
        <w:t xml:space="preserve"> maximum grant</w:t>
      </w:r>
      <w:r w:rsidR="00973B32">
        <w:t xml:space="preserve"> available of £</w:t>
      </w:r>
      <w:r w:rsidR="004161AC">
        <w:t>5</w:t>
      </w:r>
      <w:r w:rsidR="00973B32">
        <w:t>00</w:t>
      </w:r>
      <w:r w:rsidR="00A939DA">
        <w:t xml:space="preserve"> per application</w:t>
      </w:r>
      <w:r>
        <w:t xml:space="preserve">.  </w:t>
      </w:r>
    </w:p>
    <w:p w:rsidR="00973B32" w:rsidRDefault="00973B32" w:rsidP="00973B32">
      <w:pPr>
        <w:pStyle w:val="ListParagraph"/>
      </w:pPr>
    </w:p>
    <w:p w:rsidR="00DD4A8F" w:rsidRDefault="004161AC" w:rsidP="00E41EF5">
      <w:pPr>
        <w:pStyle w:val="NoSpacing"/>
        <w:numPr>
          <w:ilvl w:val="0"/>
          <w:numId w:val="9"/>
        </w:numPr>
        <w:ind w:left="567" w:hanging="567"/>
        <w:jc w:val="both"/>
      </w:pPr>
      <w:r>
        <w:t>The</w:t>
      </w:r>
      <w:r w:rsidR="00DD4A8F">
        <w:t xml:space="preserve"> applicant </w:t>
      </w:r>
      <w:r>
        <w:t>should</w:t>
      </w:r>
      <w:r w:rsidR="00DD4A8F">
        <w:t xml:space="preserve"> demonstrate </w:t>
      </w:r>
      <w:r w:rsidR="00E128E0">
        <w:t xml:space="preserve">their </w:t>
      </w:r>
      <w:r w:rsidR="003768A9">
        <w:t xml:space="preserve">own </w:t>
      </w:r>
      <w:r w:rsidR="00DD4A8F">
        <w:t>effort</w:t>
      </w:r>
      <w:r w:rsidR="003768A9">
        <w:t>s</w:t>
      </w:r>
      <w:r w:rsidR="00DD4A8F">
        <w:t xml:space="preserve"> to </w:t>
      </w:r>
      <w:r w:rsidR="003768A9">
        <w:t xml:space="preserve">raise funding and </w:t>
      </w:r>
      <w:r w:rsidR="005F5B16">
        <w:t xml:space="preserve">provide information as to </w:t>
      </w:r>
      <w:r w:rsidR="003768A9">
        <w:t>funding already provided by third parties such as by governing bodies.</w:t>
      </w:r>
    </w:p>
    <w:p w:rsidR="003768A9" w:rsidRDefault="003768A9" w:rsidP="00E41EF5">
      <w:pPr>
        <w:pStyle w:val="NoSpacing"/>
        <w:ind w:left="567" w:hanging="567"/>
        <w:jc w:val="both"/>
      </w:pPr>
    </w:p>
    <w:p w:rsidR="00E128E0" w:rsidRDefault="00E128E0" w:rsidP="00E128E0">
      <w:pPr>
        <w:pStyle w:val="NoSpacing"/>
        <w:numPr>
          <w:ilvl w:val="0"/>
          <w:numId w:val="9"/>
        </w:numPr>
        <w:ind w:left="567" w:hanging="567"/>
        <w:jc w:val="both"/>
      </w:pPr>
      <w:r>
        <w:t>If awarded a grant th</w:t>
      </w:r>
      <w:r w:rsidR="00526586">
        <w:t>e applicant will be expected to</w:t>
      </w:r>
      <w:r>
        <w:t>:</w:t>
      </w:r>
    </w:p>
    <w:p w:rsidR="00E128E0" w:rsidRDefault="00E128E0" w:rsidP="00E128E0">
      <w:pPr>
        <w:pStyle w:val="NoSpacing"/>
        <w:ind w:left="567" w:hanging="567"/>
        <w:jc w:val="both"/>
      </w:pPr>
    </w:p>
    <w:p w:rsidR="00E128E0" w:rsidRDefault="00E128E0" w:rsidP="00E128E0">
      <w:pPr>
        <w:pStyle w:val="NoSpacing"/>
        <w:numPr>
          <w:ilvl w:val="1"/>
          <w:numId w:val="9"/>
        </w:numPr>
        <w:ind w:left="1134" w:hanging="567"/>
        <w:jc w:val="both"/>
      </w:pPr>
      <w:r>
        <w:t xml:space="preserve">make efforts to promote or raise awareness of the </w:t>
      </w:r>
      <w:r w:rsidR="00B54AE8">
        <w:t>EPG</w:t>
      </w:r>
      <w:r>
        <w:t xml:space="preserve">,  for example press release, </w:t>
      </w:r>
      <w:r w:rsidR="00A939DA">
        <w:t xml:space="preserve">article, </w:t>
      </w:r>
      <w:r>
        <w:t>T shirt or other promotional material as agreed with the Board</w:t>
      </w:r>
      <w:r w:rsidR="00526586">
        <w:t xml:space="preserve"> of the EPG</w:t>
      </w:r>
      <w:r>
        <w:t>; and</w:t>
      </w:r>
    </w:p>
    <w:p w:rsidR="00E128E0" w:rsidRDefault="00E128E0" w:rsidP="00E128E0">
      <w:pPr>
        <w:pStyle w:val="NoSpacing"/>
        <w:ind w:left="1134" w:hanging="567"/>
        <w:jc w:val="both"/>
      </w:pPr>
    </w:p>
    <w:p w:rsidR="00E128E0" w:rsidRDefault="00E128E0" w:rsidP="00E128E0">
      <w:pPr>
        <w:pStyle w:val="NoSpacing"/>
        <w:numPr>
          <w:ilvl w:val="1"/>
          <w:numId w:val="9"/>
        </w:numPr>
        <w:ind w:left="1134" w:hanging="567"/>
        <w:jc w:val="both"/>
      </w:pPr>
      <w:r>
        <w:t xml:space="preserve">report back to the Board </w:t>
      </w:r>
      <w:r w:rsidR="00526586">
        <w:t xml:space="preserve">of the EPG </w:t>
      </w:r>
      <w:r>
        <w:t xml:space="preserve">following the event / purchase of the item, for inclusion in the </w:t>
      </w:r>
      <w:r w:rsidR="00B54AE8">
        <w:t>EPG’s</w:t>
      </w:r>
      <w:r>
        <w:t xml:space="preserve"> newsletter. </w:t>
      </w:r>
    </w:p>
    <w:p w:rsidR="00E128E0" w:rsidRDefault="00E128E0" w:rsidP="00E128E0">
      <w:pPr>
        <w:pStyle w:val="ListParagraph"/>
      </w:pPr>
    </w:p>
    <w:p w:rsidR="003768A9" w:rsidRDefault="003768A9" w:rsidP="00E41EF5">
      <w:pPr>
        <w:pStyle w:val="NoSpacing"/>
        <w:numPr>
          <w:ilvl w:val="0"/>
          <w:numId w:val="9"/>
        </w:numPr>
        <w:ind w:left="567" w:hanging="567"/>
        <w:jc w:val="both"/>
      </w:pPr>
      <w:r>
        <w:t xml:space="preserve">The Board </w:t>
      </w:r>
      <w:r w:rsidR="00B54AE8">
        <w:t xml:space="preserve">of the EPG </w:t>
      </w:r>
      <w:r>
        <w:t>reserves the right</w:t>
      </w:r>
      <w:r w:rsidR="00E41EF5">
        <w:t xml:space="preserve"> in the future </w:t>
      </w:r>
      <w:r>
        <w:t>to revise the criteria and conditions of grant.</w:t>
      </w:r>
    </w:p>
    <w:p w:rsidR="00A939DA" w:rsidRDefault="00A939DA">
      <w:r>
        <w:br w:type="page"/>
      </w:r>
    </w:p>
    <w:p w:rsidR="00E128E0" w:rsidRDefault="00E128E0" w:rsidP="00E128E0">
      <w:pPr>
        <w:pStyle w:val="ListParagraph"/>
      </w:pPr>
    </w:p>
    <w:p w:rsidR="00A939DA" w:rsidRDefault="00A939DA" w:rsidP="00A939DA">
      <w:pPr>
        <w:pStyle w:val="ListParagraph"/>
        <w:ind w:left="567"/>
        <w:jc w:val="both"/>
        <w:rPr>
          <w:rFonts w:cs="Tahoma"/>
          <w:color w:val="000000"/>
        </w:rPr>
      </w:pPr>
    </w:p>
    <w:p w:rsidR="00A939DA" w:rsidRDefault="00A939DA" w:rsidP="00A939DA">
      <w:pPr>
        <w:pStyle w:val="ListParagraph"/>
        <w:ind w:left="567"/>
        <w:jc w:val="both"/>
        <w:rPr>
          <w:rFonts w:cs="Tahoma"/>
          <w:color w:val="000000"/>
        </w:rPr>
      </w:pPr>
    </w:p>
    <w:p w:rsidR="00E128E0" w:rsidRDefault="00E128E0" w:rsidP="00E128E0">
      <w:pPr>
        <w:pStyle w:val="ListParagraph"/>
        <w:numPr>
          <w:ilvl w:val="0"/>
          <w:numId w:val="9"/>
        </w:numPr>
        <w:ind w:left="567" w:hanging="56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It is intend</w:t>
      </w:r>
      <w:r w:rsidR="00C964F3">
        <w:rPr>
          <w:rFonts w:cs="Tahoma"/>
          <w:color w:val="000000"/>
        </w:rPr>
        <w:t>ed</w:t>
      </w:r>
      <w:r>
        <w:rPr>
          <w:rFonts w:cs="Tahoma"/>
          <w:color w:val="000000"/>
        </w:rPr>
        <w:t xml:space="preserve"> that the F</w:t>
      </w:r>
      <w:r w:rsidRPr="00623A5A">
        <w:rPr>
          <w:rFonts w:cs="Tahoma"/>
          <w:color w:val="000000"/>
        </w:rPr>
        <w:t xml:space="preserve">und </w:t>
      </w:r>
      <w:r>
        <w:rPr>
          <w:rFonts w:cs="Tahoma"/>
          <w:color w:val="000000"/>
        </w:rPr>
        <w:t xml:space="preserve">be maintained and supplemented by specific donations, legacies and the EPG.  This will be a restricted fund and will </w:t>
      </w:r>
      <w:r w:rsidRPr="00623A5A">
        <w:rPr>
          <w:rFonts w:cs="Tahoma"/>
          <w:color w:val="000000"/>
        </w:rPr>
        <w:t xml:space="preserve">be </w:t>
      </w:r>
      <w:r>
        <w:rPr>
          <w:rFonts w:cs="Tahoma"/>
          <w:color w:val="000000"/>
        </w:rPr>
        <w:t>maintained and applied by the Board</w:t>
      </w:r>
      <w:r w:rsidR="00526586">
        <w:rPr>
          <w:rFonts w:cs="Tahoma"/>
          <w:color w:val="000000"/>
        </w:rPr>
        <w:t xml:space="preserve"> of the EPG</w:t>
      </w:r>
      <w:r>
        <w:rPr>
          <w:rFonts w:cs="Tahoma"/>
          <w:color w:val="000000"/>
        </w:rPr>
        <w:t xml:space="preserve"> </w:t>
      </w:r>
      <w:r w:rsidRPr="00623A5A">
        <w:rPr>
          <w:rFonts w:cs="Tahoma"/>
          <w:color w:val="000000"/>
        </w:rPr>
        <w:t>for the stated purposes</w:t>
      </w:r>
      <w:r>
        <w:rPr>
          <w:rFonts w:cs="Tahoma"/>
          <w:color w:val="000000"/>
        </w:rPr>
        <w:t xml:space="preserve"> in this guidance</w:t>
      </w:r>
      <w:r w:rsidRPr="00623A5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for so long as there is sufficient demand.   In the event that there proves to be insufficient funding or demand, and the Board decide</w:t>
      </w:r>
      <w:r w:rsidR="00526586">
        <w:rPr>
          <w:rFonts w:cs="Tahoma"/>
          <w:color w:val="000000"/>
        </w:rPr>
        <w:t>s</w:t>
      </w:r>
      <w:r>
        <w:rPr>
          <w:rFonts w:cs="Tahoma"/>
          <w:color w:val="000000"/>
        </w:rPr>
        <w:t xml:space="preserve"> to wind up the Fund, the monies will be applied for the </w:t>
      </w:r>
      <w:r w:rsidRPr="00623A5A">
        <w:rPr>
          <w:rFonts w:cs="Tahoma"/>
          <w:color w:val="000000"/>
        </w:rPr>
        <w:t xml:space="preserve">general purposes of </w:t>
      </w:r>
      <w:r w:rsidR="00B54AE8">
        <w:rPr>
          <w:rFonts w:cs="Tahoma"/>
          <w:color w:val="000000"/>
        </w:rPr>
        <w:t>EPG</w:t>
      </w:r>
      <w:r>
        <w:rPr>
          <w:rFonts w:cs="Tahoma"/>
          <w:color w:val="000000"/>
        </w:rPr>
        <w:t>.</w:t>
      </w:r>
    </w:p>
    <w:p w:rsidR="002A11DB" w:rsidRDefault="002A11DB" w:rsidP="002A11DB">
      <w:pPr>
        <w:pStyle w:val="NoSpacing"/>
        <w:jc w:val="both"/>
      </w:pPr>
    </w:p>
    <w:p w:rsidR="005F5B16" w:rsidRDefault="005F5B16" w:rsidP="0095271C">
      <w:pPr>
        <w:pStyle w:val="NoSpacing"/>
        <w:ind w:left="360"/>
        <w:jc w:val="both"/>
      </w:pPr>
    </w:p>
    <w:p w:rsidR="002A11DB" w:rsidRDefault="002A11DB" w:rsidP="002A11DB">
      <w:pPr>
        <w:pStyle w:val="NoSpacing"/>
        <w:jc w:val="both"/>
      </w:pPr>
    </w:p>
    <w:p w:rsidR="00844D4C" w:rsidRPr="0079129C" w:rsidRDefault="000E51A8" w:rsidP="002A11DB">
      <w:pPr>
        <w:pStyle w:val="NoSpacing"/>
        <w:jc w:val="both"/>
      </w:pPr>
      <w:r>
        <w:t xml:space="preserve">Edition </w:t>
      </w:r>
      <w:r w:rsidR="004161AC">
        <w:t>4</w:t>
      </w:r>
      <w:r>
        <w:t xml:space="preserve"> – </w:t>
      </w:r>
      <w:r w:rsidR="004161AC">
        <w:t>19</w:t>
      </w:r>
      <w:r w:rsidR="00A939DA">
        <w:t>.</w:t>
      </w:r>
      <w:r w:rsidR="004161AC">
        <w:t>2</w:t>
      </w:r>
      <w:r w:rsidR="00A939DA">
        <w:t>.201</w:t>
      </w:r>
      <w:r w:rsidR="00113C4E">
        <w:t>8</w:t>
      </w:r>
    </w:p>
    <w:sectPr w:rsidR="00844D4C" w:rsidRPr="0079129C" w:rsidSect="001E10E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36B9"/>
    <w:multiLevelType w:val="hybridMultilevel"/>
    <w:tmpl w:val="428AF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F9E"/>
    <w:multiLevelType w:val="hybridMultilevel"/>
    <w:tmpl w:val="A2A04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69B"/>
    <w:multiLevelType w:val="hybridMultilevel"/>
    <w:tmpl w:val="8CFC1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9D411F"/>
    <w:multiLevelType w:val="hybridMultilevel"/>
    <w:tmpl w:val="34FE50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441FB"/>
    <w:multiLevelType w:val="hybridMultilevel"/>
    <w:tmpl w:val="DE70F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6560A"/>
    <w:multiLevelType w:val="hybridMultilevel"/>
    <w:tmpl w:val="B45A738E"/>
    <w:lvl w:ilvl="0" w:tplc="8C4E2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95B0C"/>
    <w:multiLevelType w:val="hybridMultilevel"/>
    <w:tmpl w:val="08FE3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C2825"/>
    <w:multiLevelType w:val="multilevel"/>
    <w:tmpl w:val="A2A04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4719A"/>
    <w:multiLevelType w:val="hybridMultilevel"/>
    <w:tmpl w:val="C9D8E5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66"/>
    <w:rsid w:val="000122D2"/>
    <w:rsid w:val="00013B61"/>
    <w:rsid w:val="00024052"/>
    <w:rsid w:val="00036D2B"/>
    <w:rsid w:val="000537EE"/>
    <w:rsid w:val="00063BEA"/>
    <w:rsid w:val="00073D41"/>
    <w:rsid w:val="000839DD"/>
    <w:rsid w:val="00087C38"/>
    <w:rsid w:val="000B6C35"/>
    <w:rsid w:val="000E51A8"/>
    <w:rsid w:val="00102BB5"/>
    <w:rsid w:val="00111A61"/>
    <w:rsid w:val="00113C4E"/>
    <w:rsid w:val="001335CA"/>
    <w:rsid w:val="001772B5"/>
    <w:rsid w:val="00191B6E"/>
    <w:rsid w:val="001C6391"/>
    <w:rsid w:val="001E10EB"/>
    <w:rsid w:val="00222DE6"/>
    <w:rsid w:val="00224F05"/>
    <w:rsid w:val="002269A8"/>
    <w:rsid w:val="00243E4C"/>
    <w:rsid w:val="002765A7"/>
    <w:rsid w:val="0028440B"/>
    <w:rsid w:val="002A11DB"/>
    <w:rsid w:val="002A7866"/>
    <w:rsid w:val="00342DC5"/>
    <w:rsid w:val="003549BC"/>
    <w:rsid w:val="0037641A"/>
    <w:rsid w:val="003768A9"/>
    <w:rsid w:val="003A680E"/>
    <w:rsid w:val="003B6D60"/>
    <w:rsid w:val="003C2CA1"/>
    <w:rsid w:val="004161AC"/>
    <w:rsid w:val="00417997"/>
    <w:rsid w:val="004379F4"/>
    <w:rsid w:val="00472BF1"/>
    <w:rsid w:val="004A258A"/>
    <w:rsid w:val="004B3E09"/>
    <w:rsid w:val="00526586"/>
    <w:rsid w:val="00540706"/>
    <w:rsid w:val="00594EE1"/>
    <w:rsid w:val="00596104"/>
    <w:rsid w:val="005A352C"/>
    <w:rsid w:val="005B7995"/>
    <w:rsid w:val="005F5B16"/>
    <w:rsid w:val="00623A5A"/>
    <w:rsid w:val="0065056D"/>
    <w:rsid w:val="006A78D8"/>
    <w:rsid w:val="006D59AD"/>
    <w:rsid w:val="00733450"/>
    <w:rsid w:val="007578D5"/>
    <w:rsid w:val="00787144"/>
    <w:rsid w:val="00787691"/>
    <w:rsid w:val="0079129C"/>
    <w:rsid w:val="007C7432"/>
    <w:rsid w:val="007C7817"/>
    <w:rsid w:val="007D16FA"/>
    <w:rsid w:val="007D1D01"/>
    <w:rsid w:val="008111C0"/>
    <w:rsid w:val="00831F81"/>
    <w:rsid w:val="00844D4C"/>
    <w:rsid w:val="00920197"/>
    <w:rsid w:val="00941742"/>
    <w:rsid w:val="0095271C"/>
    <w:rsid w:val="0095391A"/>
    <w:rsid w:val="00973B32"/>
    <w:rsid w:val="00997DC8"/>
    <w:rsid w:val="009A4FD8"/>
    <w:rsid w:val="00A007FB"/>
    <w:rsid w:val="00A134E9"/>
    <w:rsid w:val="00A279D1"/>
    <w:rsid w:val="00A52EBE"/>
    <w:rsid w:val="00A62F73"/>
    <w:rsid w:val="00A8104E"/>
    <w:rsid w:val="00A939DA"/>
    <w:rsid w:val="00AA357A"/>
    <w:rsid w:val="00AE60B0"/>
    <w:rsid w:val="00AF2854"/>
    <w:rsid w:val="00B54AE8"/>
    <w:rsid w:val="00B65296"/>
    <w:rsid w:val="00BA7F9E"/>
    <w:rsid w:val="00BF64B2"/>
    <w:rsid w:val="00C10EDC"/>
    <w:rsid w:val="00C40ABE"/>
    <w:rsid w:val="00C40FA7"/>
    <w:rsid w:val="00C6402F"/>
    <w:rsid w:val="00C94C94"/>
    <w:rsid w:val="00C964F3"/>
    <w:rsid w:val="00CD02EA"/>
    <w:rsid w:val="00D20680"/>
    <w:rsid w:val="00D2392C"/>
    <w:rsid w:val="00D50CFB"/>
    <w:rsid w:val="00D82EB7"/>
    <w:rsid w:val="00DD093B"/>
    <w:rsid w:val="00DD4A8F"/>
    <w:rsid w:val="00DE6DBC"/>
    <w:rsid w:val="00E07E00"/>
    <w:rsid w:val="00E128E0"/>
    <w:rsid w:val="00E2658D"/>
    <w:rsid w:val="00E41EF5"/>
    <w:rsid w:val="00E85820"/>
    <w:rsid w:val="00F658CD"/>
    <w:rsid w:val="00F65926"/>
    <w:rsid w:val="00F65CC4"/>
    <w:rsid w:val="00F72C49"/>
    <w:rsid w:val="00FA0C29"/>
    <w:rsid w:val="00FA2A92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BEC0"/>
  <w15:docId w15:val="{B40FD870-43A2-4EFE-9432-9F56BB2F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BF1"/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B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0B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0B0"/>
    <w:rPr>
      <w:rFonts w:ascii="Tahoma" w:hAnsi="Tahom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E60B0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E60B0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60B0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E60B0"/>
    <w:rPr>
      <w:rFonts w:ascii="Tahoma" w:eastAsia="Times New Roman" w:hAnsi="Tahom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B0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E60B0"/>
    <w:rPr>
      <w:rFonts w:ascii="Tahoma" w:eastAsia="Times New Roman" w:hAnsi="Tahom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5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0E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bspalsygroup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2840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Tozers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 Hemming</dc:creator>
  <cp:lastModifiedBy>Clair Hemming</cp:lastModifiedBy>
  <cp:revision>2</cp:revision>
  <dcterms:created xsi:type="dcterms:W3CDTF">2018-02-22T09:55:00Z</dcterms:created>
  <dcterms:modified xsi:type="dcterms:W3CDTF">2018-02-22T09:55:00Z</dcterms:modified>
</cp:coreProperties>
</file>